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roked="f" style="width:595.27559055118pt; height:841.8897637795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ectPr>
          <w:pgSz w:orient="portrait" w:w="11905.511811023622" w:h="16837.79527559055"/>
          <w:pgMar w:top="0" w:right="0" w:bottom="0" w:left="0" w:header="720" w:footer="720" w:gutter="0"/>
          <w:cols w:num="1" w:space="720"/>
        </w:sectPr>
      </w:pPr>
    </w:p>
    <w:p>
      <w:pPr>
        <w:jc w:val="center"/>
      </w:pPr>
      <w:r>
        <w:rPr>
          <w:rFonts w:ascii="宋体" w:hAnsi="宋体" w:eastAsia="宋体" w:cs="宋体"/>
          <w:sz w:val="60"/>
          <w:szCs w:val="60"/>
          <w:b w:val="1"/>
          <w:bCs w:val="1"/>
        </w:rPr>
        <w:t xml:space="preserve">风险评估与危机管理</w:t>
      </w:r>
    </w:p>
    <w:p>
      <w:pPr>
        <w:jc w:val="center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早该帮产品手册</w:t>
      </w:r>
    </w:p>
    <w:p/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风险评估与危机管理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服务简介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服务目标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服务内容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提纲框架</w:t>
      </w:r>
    </w:p>
    <w:p/>
    <w:p/>
    <w:p/>
    <w:p/>
    <w:p>
      <w:pPr/>
    </w:p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rPr>
        <w:rFonts w:ascii="宋体" w:hAnsi="宋体" w:eastAsia="宋体" w:cs="宋体"/>
        <w:sz w:val="28"/>
        <w:szCs w:val="28"/>
        <w:b w:val="0"/>
        <w:bCs w:val="0"/>
      </w:rPr>
      <w:instrText xml:space="preserve">PAGE</w:instrText>
    </w:r>
    <w:r>
      <w:fldChar w:fldCharType="separate"/>
    </w:r>
    <w:r>
      <w:fldChar w:fldCharType="end"/>
    </w:r>
    <w:r>
      <w:rPr>
        <w:rFonts w:ascii="宋体" w:hAnsi="宋体" w:eastAsia="宋体" w:cs="宋体"/>
        <w:sz w:val="28"/>
        <w:szCs w:val="28"/>
        <w:b w:val="0"/>
        <w:bCs w:val="0"/>
      </w:rPr>
      <w:t xml:space="preserve"> / </w:t>
    </w:r>
    <w:r>
      <w:fldChar w:fldCharType="begin"/>
    </w:r>
    <w:r>
      <w:rPr>
        <w:rFonts w:ascii="宋体" w:hAnsi="宋体" w:eastAsia="宋体" w:cs="宋体"/>
        <w:sz w:val="28"/>
        <w:szCs w:val="28"/>
        <w:b w:val="0"/>
        <w:bCs w:val="0"/>
      </w:rP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2025-04-18T10:47:44+08:00</dcterms:created>
  <dcterms:modified xsi:type="dcterms:W3CDTF">2025-04-18T10:47:44+08:00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